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7384C9FA" w:rsidR="008C49D3" w:rsidRDefault="00A94A4A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  <w:r>
        <w:rPr>
          <w:noProof/>
        </w:rPr>
        <w:drawing>
          <wp:inline distT="0" distB="0" distL="0" distR="0" wp14:anchorId="1BD66A1E" wp14:editId="6F60E6D7">
            <wp:extent cx="4859020" cy="487680"/>
            <wp:effectExtent l="0" t="0" r="0" b="0"/>
            <wp:docPr id="12703782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7716A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1EC4E38F" w14:textId="77777777" w:rsidR="00F42F4F" w:rsidRPr="00F42F4F" w:rsidRDefault="0093290A" w:rsidP="00F42F4F">
      <w:pPr>
        <w:pStyle w:val="Corpotes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</w:rPr>
        <w:t>SETTORE)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PER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LA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REALIZZAZIONE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DEL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PROGETTO</w:t>
      </w:r>
      <w:r w:rsidR="00F42F4F" w:rsidRPr="00F42F4F">
        <w:rPr>
          <w:rFonts w:ascii="Calibri" w:eastAsia="Calibri" w:hAnsi="Calibri" w:cs="Calibri"/>
          <w:b/>
        </w:rPr>
        <w:t>"CENTRO CONSULENZA PER FAMIGLIE QUARTIERE TORRICELLI" - CIG: ____________________</w:t>
      </w:r>
    </w:p>
    <w:p w14:paraId="025AA04C" w14:textId="77777777" w:rsidR="00F42F4F" w:rsidRPr="00F42F4F" w:rsidRDefault="00F42F4F" w:rsidP="00F42F4F">
      <w:pPr>
        <w:pStyle w:val="Corpotesto"/>
        <w:rPr>
          <w:rFonts w:ascii="Calibri" w:eastAsia="Calibri" w:hAnsi="Calibri" w:cs="Calibri"/>
          <w:b/>
        </w:rPr>
      </w:pPr>
    </w:p>
    <w:p w14:paraId="6D54138C" w14:textId="0CE2E435" w:rsidR="00E51CAE" w:rsidRPr="008C49D3" w:rsidRDefault="00F42F4F" w:rsidP="00F42F4F">
      <w:pPr>
        <w:pStyle w:val="Corpotesto"/>
        <w:rPr>
          <w:rFonts w:asciiTheme="minorHAnsi" w:hAnsiTheme="minorHAnsi" w:cstheme="minorHAnsi"/>
          <w:b/>
          <w:sz w:val="24"/>
        </w:rPr>
      </w:pPr>
      <w:r w:rsidRPr="00F42F4F">
        <w:rPr>
          <w:rFonts w:ascii="Calibri" w:eastAsia="Calibri" w:hAnsi="Calibri" w:cs="Calibri"/>
          <w:b/>
        </w:rPr>
        <w:t>A VALERE SULLE RISORSE DEL PROGRAMMA NAZIONALE METRO PLUS E CITTÀ MEDIE SUD 21-27 PRIORITÀ 5. SERVIZI PER L’INCLUSIONE E L’INNOVAZIONE SOCIALE - CITTÀ MEDIE RMS (FSE+): CUP J39</w:t>
      </w:r>
      <w:r w:rsidR="009E2CCD">
        <w:rPr>
          <w:rFonts w:ascii="Calibri" w:eastAsia="Calibri" w:hAnsi="Calibri" w:cs="Calibri"/>
          <w:b/>
        </w:rPr>
        <w:t>G</w:t>
      </w:r>
      <w:r w:rsidRPr="00F42F4F">
        <w:rPr>
          <w:rFonts w:ascii="Calibri" w:eastAsia="Calibri" w:hAnsi="Calibri" w:cs="Calibri"/>
          <w:b/>
        </w:rPr>
        <w:t>24000</w:t>
      </w:r>
      <w:r w:rsidR="009E2CCD">
        <w:rPr>
          <w:rFonts w:ascii="Calibri" w:eastAsia="Calibri" w:hAnsi="Calibri" w:cs="Calibri"/>
          <w:b/>
        </w:rPr>
        <w:t>46</w:t>
      </w:r>
      <w:r w:rsidRPr="00F42F4F">
        <w:rPr>
          <w:rFonts w:ascii="Calibri" w:eastAsia="Calibri" w:hAnsi="Calibri" w:cs="Calibri"/>
          <w:b/>
        </w:rPr>
        <w:t xml:space="preserve">0007 - </w:t>
      </w:r>
      <w:r w:rsidR="0009030A" w:rsidRPr="0009030A">
        <w:rPr>
          <w:rFonts w:ascii="Calibri" w:eastAsia="Calibri" w:hAnsi="Calibri" w:cs="Calibri"/>
          <w:b/>
        </w:rPr>
        <w:t xml:space="preserve">€ 1.250.588,00 </w:t>
      </w:r>
    </w:p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xxxx,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0" w:name="Premesso_che"/>
      <w:bookmarkEnd w:id="0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" w:name="Richiamati"/>
      <w:bookmarkEnd w:id="1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../../2..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l’Avviso pubblicato dal …al.............di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2" w:name="Rilevato,_infine_che"/>
      <w:bookmarkEnd w:id="2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</w:t>
      </w:r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36/2023 e ss.mm.ii.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SI_CONVIENE_QUANTO_SEGUE"/>
      <w:bookmarkEnd w:id="3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coprogettate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4" w:name="Art._2_–_Attività_e_compiti"/>
      <w:bookmarkEnd w:id="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3_–_Durata_della_convenzione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A94A4A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presente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ha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validità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dalla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data</w:t>
      </w:r>
      <w:r w:rsidRPr="00A94A4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fino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A94A4A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94A4A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dovrà</w:t>
      </w:r>
      <w:r w:rsidRPr="00A94A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6" w:name="Art._4_–_Risorse_messe_a_disposizioni_da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6A341C10" w:rsidR="00E51CAE" w:rsidRPr="009755C6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all’ATS sulla base di quanto riconosciuto dal </w:t>
      </w:r>
      <w:bookmarkStart w:id="7" w:name="_Hlk212401590"/>
      <w:r w:rsidR="00A94A4A" w:rsidRPr="00A94A4A">
        <w:rPr>
          <w:rFonts w:ascii="Calibri" w:eastAsia="Times New Roman" w:hAnsi="Calibri" w:cs="Calibri"/>
          <w:sz w:val="24"/>
          <w:szCs w:val="24"/>
        </w:rPr>
        <w:t>Dipartimento per le Politiche di Coesione e per il Sud</w:t>
      </w:r>
      <w:bookmarkEnd w:id="7"/>
      <w:r w:rsidRPr="009755C6">
        <w:rPr>
          <w:rFonts w:asciiTheme="minorHAnsi" w:hAnsiTheme="minorHAnsi" w:cstheme="minorHAnsi"/>
          <w:color w:val="000007"/>
          <w:sz w:val="24"/>
          <w:szCs w:val="24"/>
        </w:rPr>
        <w:t>. Pertanto l’erogazione del contributo avverrà in base alle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anticipo (pari al 10% del contributo assegnato), previa comunicazione dell’effettivo avvio 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ATS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intermedio sulle attività svolte e verifica dell’effettivo utilizzo di almeno il 75% della somma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 all’avvio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secondo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acconto,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35%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somma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complete della documentazione valida ai fini fiscali giustificativa delle spese sostenute per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755C6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ammontare</w:t>
      </w:r>
      <w:r w:rsidRPr="009755C6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720D66B2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94A4A">
        <w:rPr>
          <w:rFonts w:asciiTheme="minorHAnsi" w:hAnsiTheme="minorHAnsi" w:cstheme="minorHAnsi"/>
          <w:spacing w:val="1"/>
          <w:sz w:val="24"/>
          <w:szCs w:val="24"/>
        </w:rPr>
        <w:t>di cui alle linee guida.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8" w:name="Art._5_–_Risorse_umane_adibite_alle_atti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9" w:name="Art._6_–_Assicurazion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7597D620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0" w:name="Art._7_–_Divieto_di_cessione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8_–_Monitoraggio_delle_attività_ogg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31A662FF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9_–_Trattamento_dei_dati_personali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3" w:name="Art._10_–_Risoluzione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lastRenderedPageBreak/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11–_Rinvii_normativi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777777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Codice Civile, al D.Lgs. n. 117/2017, al D.Lgs. n. 50/2016 e s.m.i.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2_–_Controversi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3_–_Registrazion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4_–_Allegati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8" w:name="FIRME"/>
      <w:bookmarkEnd w:id="18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CAD483A" w14:textId="34E20A69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D4C04EA" w14:textId="7A2BD6F4" w:rsidR="0009030A" w:rsidRDefault="00000000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06C5FC32" w14:textId="77777777" w:rsidR="0009030A" w:rsidRDefault="0009030A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</w:p>
    <w:p w14:paraId="1EAA8083" w14:textId="49F4D1DB" w:rsidR="00E51CAE" w:rsidRPr="009755C6" w:rsidRDefault="00000000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9030A"/>
    <w:rsid w:val="002B01A5"/>
    <w:rsid w:val="00324763"/>
    <w:rsid w:val="00392D4A"/>
    <w:rsid w:val="003E7191"/>
    <w:rsid w:val="00462E4B"/>
    <w:rsid w:val="0048235D"/>
    <w:rsid w:val="004C1C94"/>
    <w:rsid w:val="004D554F"/>
    <w:rsid w:val="0052235C"/>
    <w:rsid w:val="007441E9"/>
    <w:rsid w:val="00807606"/>
    <w:rsid w:val="008B4E50"/>
    <w:rsid w:val="008C49D3"/>
    <w:rsid w:val="008D544C"/>
    <w:rsid w:val="008F40BD"/>
    <w:rsid w:val="00915CD4"/>
    <w:rsid w:val="0093290A"/>
    <w:rsid w:val="009755C6"/>
    <w:rsid w:val="009E2CCD"/>
    <w:rsid w:val="009F12DE"/>
    <w:rsid w:val="00A94A4A"/>
    <w:rsid w:val="00AD5B33"/>
    <w:rsid w:val="00AF21A6"/>
    <w:rsid w:val="00B21B76"/>
    <w:rsid w:val="00BB2445"/>
    <w:rsid w:val="00CB585F"/>
    <w:rsid w:val="00D20E54"/>
    <w:rsid w:val="00D406C5"/>
    <w:rsid w:val="00E51CAE"/>
    <w:rsid w:val="00EE3D6B"/>
    <w:rsid w:val="00F42F4F"/>
    <w:rsid w:val="00FA498E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2544</Words>
  <Characters>14506</Characters>
  <Application>Microsoft Office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Daniela Conte</cp:lastModifiedBy>
  <cp:revision>8</cp:revision>
  <dcterms:created xsi:type="dcterms:W3CDTF">2025-10-24T20:22:00Z</dcterms:created>
  <dcterms:modified xsi:type="dcterms:W3CDTF">2025-11-17T13:55:00Z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